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EE" w:rsidRDefault="007530EE" w:rsidP="007530EE">
      <w:pPr>
        <w:pStyle w:val="HTML"/>
        <w:spacing w:line="288" w:lineRule="auto"/>
        <w:jc w:val="center"/>
        <w:outlineLvl w:val="0"/>
        <w:rPr>
          <w:rFonts w:eastAsia="宋体"/>
          <w:b/>
          <w:bCs/>
          <w:sz w:val="32"/>
          <w:szCs w:val="32"/>
        </w:rPr>
      </w:pPr>
      <w:bookmarkStart w:id="0" w:name="_Toc1993"/>
      <w:bookmarkStart w:id="1" w:name="_Toc23162"/>
      <w:bookmarkStart w:id="2" w:name="_Toc13266_WPSOffice_Level3"/>
      <w:bookmarkStart w:id="3" w:name="_Toc27043"/>
      <w:r>
        <w:rPr>
          <w:rFonts w:eastAsia="宋体" w:hint="eastAsia"/>
          <w:b/>
          <w:bCs/>
          <w:sz w:val="32"/>
          <w:szCs w:val="32"/>
        </w:rPr>
        <w:t>山西大同大学图书馆珍贵纸质藏品管理制度</w:t>
      </w:r>
      <w:bookmarkEnd w:id="0"/>
      <w:bookmarkEnd w:id="1"/>
      <w:bookmarkEnd w:id="2"/>
      <w:bookmarkEnd w:id="3"/>
    </w:p>
    <w:p w:rsidR="007530EE" w:rsidRDefault="007530EE" w:rsidP="007530EE">
      <w:pPr>
        <w:pStyle w:val="HTML"/>
        <w:spacing w:line="288" w:lineRule="auto"/>
        <w:ind w:firstLineChars="225" w:firstLine="540"/>
        <w:rPr>
          <w:rFonts w:eastAsia="宋体"/>
        </w:rPr>
      </w:pPr>
    </w:p>
    <w:p w:rsidR="007530EE" w:rsidRDefault="007530EE" w:rsidP="007530EE">
      <w:pPr>
        <w:pStyle w:val="HTML"/>
        <w:spacing w:line="288" w:lineRule="auto"/>
        <w:ind w:firstLineChars="225" w:firstLine="540"/>
        <w:rPr>
          <w:rFonts w:eastAsia="宋体"/>
        </w:rPr>
      </w:pPr>
      <w:r>
        <w:rPr>
          <w:rFonts w:eastAsia="宋体" w:hint="eastAsia"/>
        </w:rPr>
        <w:t>大同大学图书馆珍贵纸质藏品统称为珍贵文献，包括古籍、线装书、工具书、艺术类书籍、地方志丛书，其中部分文献属我馆的特色馆藏，如《大同历史文化丛书》、《山西省地方志丛书》、《三晋石刻大全》、《四库全书》、《四部丛刊》等。为更好地保护、利用这些文献，特制定本制度。</w:t>
      </w:r>
    </w:p>
    <w:p w:rsidR="007530EE" w:rsidRDefault="007530EE" w:rsidP="007530EE">
      <w:pPr>
        <w:pStyle w:val="HTML"/>
        <w:spacing w:line="288" w:lineRule="auto"/>
        <w:ind w:firstLineChars="225" w:firstLine="542"/>
        <w:outlineLvl w:val="0"/>
        <w:rPr>
          <w:rFonts w:eastAsia="宋体"/>
          <w:b/>
          <w:bCs/>
        </w:rPr>
      </w:pPr>
      <w:bookmarkStart w:id="4" w:name="_Toc137"/>
      <w:bookmarkStart w:id="5" w:name="_Toc23295"/>
      <w:bookmarkStart w:id="6" w:name="_Toc20731"/>
      <w:bookmarkStart w:id="7" w:name="_Toc27415"/>
      <w:bookmarkStart w:id="8" w:name="_Toc28399"/>
      <w:bookmarkStart w:id="9" w:name="_Toc24867"/>
      <w:r>
        <w:rPr>
          <w:rFonts w:eastAsia="宋体" w:hint="eastAsia"/>
          <w:b/>
          <w:bCs/>
        </w:rPr>
        <w:t>一、珍贵文献的存放</w:t>
      </w:r>
      <w:bookmarkEnd w:id="4"/>
      <w:bookmarkEnd w:id="5"/>
      <w:bookmarkEnd w:id="6"/>
      <w:bookmarkEnd w:id="7"/>
      <w:bookmarkEnd w:id="8"/>
      <w:bookmarkEnd w:id="9"/>
    </w:p>
    <w:p w:rsidR="007530EE" w:rsidRDefault="007530EE" w:rsidP="007530EE">
      <w:pPr>
        <w:pStyle w:val="HTML"/>
        <w:spacing w:line="288" w:lineRule="auto"/>
        <w:ind w:firstLineChars="225" w:firstLine="540"/>
        <w:rPr>
          <w:rFonts w:eastAsia="宋体"/>
        </w:rPr>
      </w:pPr>
      <w:r>
        <w:rPr>
          <w:rFonts w:eastAsia="宋体" w:hint="eastAsia"/>
        </w:rPr>
        <w:t>1.古籍、线装书、工具书存放于A区一层古籍&amp;工具书阅览室，其中古籍与线装书用专门的密集柜进行保存，部分艺术类书籍与方志类书籍书存放于A区三层特藏阅览室，书法绘画类书籍存放于一层大厅书画苑。</w:t>
      </w:r>
    </w:p>
    <w:p w:rsidR="007530EE" w:rsidRDefault="007530EE" w:rsidP="007530EE">
      <w:pPr>
        <w:pStyle w:val="HTML"/>
        <w:spacing w:line="288" w:lineRule="auto"/>
        <w:ind w:firstLineChars="225" w:firstLine="540"/>
        <w:rPr>
          <w:rFonts w:eastAsia="宋体"/>
        </w:rPr>
      </w:pPr>
      <w:r>
        <w:rPr>
          <w:rFonts w:eastAsia="宋体" w:hint="eastAsia"/>
        </w:rPr>
        <w:t>2.珍贵文献的存放地点均设专人管理，定期整架、排架、查验。</w:t>
      </w:r>
    </w:p>
    <w:p w:rsidR="007530EE" w:rsidRDefault="007530EE" w:rsidP="007530EE">
      <w:pPr>
        <w:pStyle w:val="HTML"/>
        <w:spacing w:line="288" w:lineRule="auto"/>
        <w:ind w:firstLineChars="225" w:firstLine="540"/>
        <w:rPr>
          <w:rFonts w:eastAsia="宋体"/>
        </w:rPr>
      </w:pPr>
      <w:r>
        <w:rPr>
          <w:rFonts w:eastAsia="宋体" w:hint="eastAsia"/>
        </w:rPr>
        <w:t>3.定期开窗通风，保持室内空气干燥，在阅览室的指定区域内放置药草以防止鼠虫危害。</w:t>
      </w:r>
    </w:p>
    <w:p w:rsidR="007530EE" w:rsidRDefault="007530EE" w:rsidP="007530EE">
      <w:pPr>
        <w:pStyle w:val="HTML"/>
        <w:spacing w:line="288" w:lineRule="auto"/>
        <w:ind w:firstLineChars="225" w:firstLine="542"/>
        <w:outlineLvl w:val="0"/>
        <w:rPr>
          <w:rFonts w:eastAsia="宋体"/>
          <w:b/>
          <w:bCs/>
        </w:rPr>
      </w:pPr>
      <w:bookmarkStart w:id="10" w:name="_Toc15003"/>
      <w:bookmarkStart w:id="11" w:name="_Toc29509"/>
      <w:bookmarkStart w:id="12" w:name="_Toc2759"/>
      <w:bookmarkStart w:id="13" w:name="_Toc19848"/>
      <w:bookmarkStart w:id="14" w:name="_Toc20453"/>
      <w:bookmarkStart w:id="15" w:name="_Toc17267"/>
      <w:r>
        <w:rPr>
          <w:rFonts w:eastAsia="宋体" w:hint="eastAsia"/>
          <w:b/>
          <w:bCs/>
        </w:rPr>
        <w:t>二、珍贵文献的借阅</w:t>
      </w:r>
      <w:bookmarkEnd w:id="10"/>
      <w:bookmarkEnd w:id="11"/>
      <w:bookmarkEnd w:id="12"/>
      <w:bookmarkEnd w:id="13"/>
      <w:bookmarkEnd w:id="14"/>
      <w:bookmarkEnd w:id="15"/>
    </w:p>
    <w:p w:rsidR="007530EE" w:rsidRDefault="007530EE" w:rsidP="007530EE">
      <w:pPr>
        <w:pStyle w:val="HTML"/>
        <w:spacing w:line="288" w:lineRule="auto"/>
        <w:ind w:firstLineChars="225" w:firstLine="540"/>
        <w:rPr>
          <w:rFonts w:eastAsia="宋体"/>
        </w:rPr>
      </w:pPr>
      <w:r>
        <w:rPr>
          <w:rFonts w:eastAsia="宋体" w:hint="eastAsia"/>
        </w:rPr>
        <w:t>1.读者进入古籍&amp;工具书阅览室、特藏阅览室、书画苑应随身携带学生证、一卡通，进入阅览室后按要求把证件换成代书板，再进行图书查找。</w:t>
      </w:r>
    </w:p>
    <w:p w:rsidR="007530EE" w:rsidRDefault="007530EE" w:rsidP="007530EE">
      <w:pPr>
        <w:pStyle w:val="HTML"/>
        <w:spacing w:line="288" w:lineRule="auto"/>
        <w:ind w:firstLineChars="225" w:firstLine="540"/>
        <w:rPr>
          <w:rFonts w:eastAsia="宋体"/>
        </w:rPr>
      </w:pPr>
      <w:r>
        <w:rPr>
          <w:rFonts w:eastAsia="宋体" w:hint="eastAsia"/>
        </w:rPr>
        <w:t>2.学生证、一卡通只限本人使用，因转借、代借而产生的后果概由原持卡人负责。</w:t>
      </w:r>
    </w:p>
    <w:p w:rsidR="007530EE" w:rsidRDefault="007530EE" w:rsidP="007530EE">
      <w:pPr>
        <w:pStyle w:val="HTML"/>
        <w:spacing w:line="288" w:lineRule="auto"/>
        <w:ind w:firstLineChars="225" w:firstLine="540"/>
        <w:rPr>
          <w:rFonts w:eastAsia="宋体"/>
        </w:rPr>
      </w:pPr>
      <w:r>
        <w:rPr>
          <w:rFonts w:eastAsia="宋体" w:hint="eastAsia"/>
        </w:rPr>
        <w:t>3.读者翻阅珍重文献时需佩戴图书馆统一提供的手套，翻阅过程中要珍惜爱护图书，如有损坏，将按照本馆规定予以处罚。</w:t>
      </w:r>
    </w:p>
    <w:p w:rsidR="007530EE" w:rsidRDefault="007530EE" w:rsidP="007530EE">
      <w:pPr>
        <w:pStyle w:val="HTML"/>
        <w:spacing w:line="288" w:lineRule="auto"/>
        <w:ind w:firstLineChars="225" w:firstLine="540"/>
        <w:rPr>
          <w:rFonts w:eastAsia="宋体"/>
        </w:rPr>
      </w:pPr>
      <w:r>
        <w:rPr>
          <w:rFonts w:eastAsia="宋体" w:hint="eastAsia"/>
        </w:rPr>
        <w:t>4.珍重文献原则上不允许外借，确有需要时，填写《大同大学图书馆珍重文献外借申请表》，经馆领导审批确认后方可借出，借出的文献须在三日内归还。严禁把未办理借阅手续的书刊带出馆外，违者按偷盗论处（本人写检讨并通报所在单位）。</w:t>
      </w:r>
    </w:p>
    <w:p w:rsidR="007530EE" w:rsidRDefault="007530EE" w:rsidP="007530EE">
      <w:pPr>
        <w:pStyle w:val="HTML"/>
        <w:spacing w:line="288" w:lineRule="auto"/>
        <w:ind w:firstLineChars="225" w:firstLine="540"/>
        <w:rPr>
          <w:rFonts w:eastAsia="宋体"/>
        </w:rPr>
      </w:pPr>
      <w:r>
        <w:rPr>
          <w:rFonts w:eastAsia="宋体" w:hint="eastAsia"/>
        </w:rPr>
        <w:t>5.借书时应仔细检查所借图书的完好情况，发现有涂划、缺损等情况，应立即向工作人员说明，并加盖确认标记；否则，在还书时发现有上述情况，视为该读者所为，一律按本馆有关规定予以处罚。</w:t>
      </w:r>
    </w:p>
    <w:p w:rsidR="007530EE" w:rsidRDefault="007530EE" w:rsidP="007530EE">
      <w:pPr>
        <w:pStyle w:val="HTML"/>
        <w:spacing w:line="288" w:lineRule="auto"/>
        <w:ind w:firstLineChars="225" w:firstLine="542"/>
        <w:outlineLvl w:val="0"/>
        <w:rPr>
          <w:rFonts w:eastAsia="宋体"/>
          <w:b/>
          <w:bCs/>
        </w:rPr>
      </w:pPr>
      <w:bookmarkStart w:id="16" w:name="_Toc31380"/>
      <w:bookmarkStart w:id="17" w:name="_Toc11057"/>
      <w:bookmarkStart w:id="18" w:name="_Toc8095"/>
      <w:bookmarkStart w:id="19" w:name="_Toc2421"/>
      <w:bookmarkStart w:id="20" w:name="_Toc4786"/>
      <w:bookmarkStart w:id="21" w:name="_Toc19787"/>
      <w:r>
        <w:rPr>
          <w:rFonts w:eastAsia="宋体" w:hint="eastAsia"/>
          <w:b/>
          <w:bCs/>
        </w:rPr>
        <w:t>三、珍贵文献的盘点</w:t>
      </w:r>
      <w:bookmarkEnd w:id="16"/>
      <w:bookmarkEnd w:id="17"/>
      <w:bookmarkEnd w:id="18"/>
      <w:bookmarkEnd w:id="19"/>
      <w:bookmarkEnd w:id="20"/>
      <w:bookmarkEnd w:id="21"/>
    </w:p>
    <w:p w:rsidR="007530EE" w:rsidRDefault="007530EE" w:rsidP="007530EE">
      <w:pPr>
        <w:pStyle w:val="HTML"/>
        <w:spacing w:line="288" w:lineRule="auto"/>
        <w:ind w:firstLineChars="225" w:firstLine="540"/>
        <w:rPr>
          <w:rFonts w:eastAsia="宋体"/>
        </w:rPr>
      </w:pPr>
      <w:r>
        <w:rPr>
          <w:rFonts w:eastAsia="宋体" w:hint="eastAsia"/>
        </w:rPr>
        <w:t>1.珍贵文献入库时，要单独建帐，分管馆长签字后，采编部、书库管理人分别持有。</w:t>
      </w:r>
    </w:p>
    <w:p w:rsidR="00505FAA" w:rsidRDefault="007530EE" w:rsidP="007530EE">
      <w:r>
        <w:rPr>
          <w:rFonts w:eastAsia="宋体" w:cs="宋体" w:hint="eastAsia"/>
        </w:rPr>
        <w:t>2.</w:t>
      </w:r>
      <w:r>
        <w:rPr>
          <w:rFonts w:eastAsia="宋体" w:cs="宋体" w:hint="eastAsia"/>
        </w:rPr>
        <w:t>书库管理人每年对所管辖的珍贵文献进行盘点，弄清帐目与库存是否相符、文献有无损毁等。</w:t>
      </w:r>
    </w:p>
    <w:sectPr w:rsidR="0050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AA" w:rsidRDefault="00505FAA" w:rsidP="007530EE">
      <w:r>
        <w:separator/>
      </w:r>
    </w:p>
  </w:endnote>
  <w:endnote w:type="continuationSeparator" w:id="1">
    <w:p w:rsidR="00505FAA" w:rsidRDefault="00505FAA" w:rsidP="00753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AA" w:rsidRDefault="00505FAA" w:rsidP="007530EE">
      <w:r>
        <w:separator/>
      </w:r>
    </w:p>
  </w:footnote>
  <w:footnote w:type="continuationSeparator" w:id="1">
    <w:p w:rsidR="00505FAA" w:rsidRDefault="00505FAA" w:rsidP="00753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0EE"/>
    <w:rsid w:val="00505FAA"/>
    <w:rsid w:val="0075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0EE"/>
    <w:rPr>
      <w:sz w:val="18"/>
      <w:szCs w:val="18"/>
    </w:rPr>
  </w:style>
  <w:style w:type="paragraph" w:styleId="HTML">
    <w:name w:val="HTML Preformatted"/>
    <w:basedOn w:val="a"/>
    <w:link w:val="HTMLChar"/>
    <w:qFormat/>
    <w:rsid w:val="007530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7530EE"/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tsg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2020-10-19T10:25:00Z</dcterms:created>
  <dcterms:modified xsi:type="dcterms:W3CDTF">2020-10-19T10:25:00Z</dcterms:modified>
</cp:coreProperties>
</file>